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خطاب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منظمات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حقوقية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تطالب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الرئيس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عبد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الفتاح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السيسي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بإلغاء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الحكم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الصادر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بحق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أحمد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سمير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سنطاوي</w:t>
      </w:r>
    </w:p>
    <w:p w:rsidR="00000000" w:rsidDel="00000000" w:rsidP="00000000" w:rsidRDefault="00000000" w:rsidRPr="00000000" w14:paraId="00000002">
      <w:pPr>
        <w:bidi w:val="1"/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16 </w:t>
      </w:r>
      <w:r w:rsidDel="00000000" w:rsidR="00000000" w:rsidRPr="00000000">
        <w:rPr>
          <w:sz w:val="24"/>
          <w:szCs w:val="24"/>
          <w:rtl w:val="1"/>
        </w:rPr>
        <w:t xml:space="preserve">يوليو</w:t>
      </w:r>
      <w:r w:rsidDel="00000000" w:rsidR="00000000" w:rsidRPr="00000000">
        <w:rPr>
          <w:sz w:val="24"/>
          <w:szCs w:val="24"/>
          <w:rtl w:val="1"/>
        </w:rPr>
        <w:t xml:space="preserve"> 2021</w:t>
      </w:r>
    </w:p>
    <w:p w:rsidR="00000000" w:rsidDel="00000000" w:rsidP="00000000" w:rsidRDefault="00000000" w:rsidRPr="00000000" w14:paraId="00000004">
      <w:pPr>
        <w:bidi w:val="1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تطالب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الموقعة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أدناه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الرئيس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الفتاح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بإلغاء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الحكم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الباحث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وطالب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الأنثروبولوجيا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بجامعة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أوروبا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الوسطى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بالعاصمة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النمساوية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فيينا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سمير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وكانت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محكمة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طوارئ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حكمت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22 </w:t>
      </w:r>
      <w:r w:rsidDel="00000000" w:rsidR="00000000" w:rsidRPr="00000000">
        <w:rPr>
          <w:sz w:val="24"/>
          <w:szCs w:val="24"/>
          <w:rtl w:val="1"/>
        </w:rPr>
        <w:t xml:space="preserve">يونيو</w:t>
      </w:r>
      <w:r w:rsidDel="00000000" w:rsidR="00000000" w:rsidRPr="00000000">
        <w:rPr>
          <w:sz w:val="24"/>
          <w:szCs w:val="24"/>
          <w:rtl w:val="1"/>
        </w:rPr>
        <w:t xml:space="preserve"> 2021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بالسجن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أربع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سنوات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بتهمة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نشر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أخبار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كاذبة</w:t>
      </w:r>
      <w:r w:rsidDel="00000000" w:rsidR="00000000" w:rsidRPr="00000000">
        <w:rPr>
          <w:sz w:val="24"/>
          <w:szCs w:val="24"/>
          <w:rtl w:val="1"/>
        </w:rPr>
        <w:t xml:space="preserve">"، </w:t>
      </w:r>
      <w:r w:rsidDel="00000000" w:rsidR="00000000" w:rsidRPr="00000000">
        <w:rPr>
          <w:sz w:val="24"/>
          <w:szCs w:val="24"/>
          <w:rtl w:val="1"/>
        </w:rPr>
        <w:t xml:space="preserve">واستندت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أدلة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الإدانة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منشورات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وسائل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التواصل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تنتقد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انتهاكات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وسوء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كورونا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إضرابا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الطعام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23 </w:t>
      </w:r>
      <w:r w:rsidDel="00000000" w:rsidR="00000000" w:rsidRPr="00000000">
        <w:rPr>
          <w:sz w:val="24"/>
          <w:szCs w:val="24"/>
          <w:rtl w:val="1"/>
        </w:rPr>
        <w:t xml:space="preserve">يونيو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احتجاج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إدانته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الجائرة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يعر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حياته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خطر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جسيم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والأحكام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الصادرة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محكمة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طوارئ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محكمة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خاصة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ظل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الطوارئ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يمكن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استئنافها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تخضع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لسلطات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رئيس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الجمهورية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إن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الطوارئ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فرضها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الرئيس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أبريل</w:t>
      </w:r>
      <w:r w:rsidDel="00000000" w:rsidR="00000000" w:rsidRPr="00000000">
        <w:rPr>
          <w:sz w:val="24"/>
          <w:szCs w:val="24"/>
          <w:rtl w:val="1"/>
        </w:rPr>
        <w:t xml:space="preserve"> 2017 </w:t>
      </w:r>
      <w:r w:rsidDel="00000000" w:rsidR="00000000" w:rsidRPr="00000000">
        <w:rPr>
          <w:sz w:val="24"/>
          <w:szCs w:val="24"/>
          <w:rtl w:val="1"/>
        </w:rPr>
        <w:t xml:space="preserve">وتجدد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ثلاثة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أشهر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بموافقة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البرلمان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تقوض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البلاد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كبير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القبض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تعسفي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1 </w:t>
      </w:r>
      <w:r w:rsidDel="00000000" w:rsidR="00000000" w:rsidRPr="00000000">
        <w:rPr>
          <w:sz w:val="24"/>
          <w:szCs w:val="24"/>
          <w:rtl w:val="1"/>
        </w:rPr>
        <w:t xml:space="preserve">فبراير</w:t>
      </w:r>
      <w:r w:rsidDel="00000000" w:rsidR="00000000" w:rsidRPr="00000000">
        <w:rPr>
          <w:sz w:val="24"/>
          <w:szCs w:val="24"/>
          <w:rtl w:val="1"/>
        </w:rPr>
        <w:t xml:space="preserve"> 2021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تعر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للتعذيب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والمعاملة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السيئة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مسؤولي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الوطني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التابع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لوزارة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الداخلية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قصير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وصوله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فيينا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يدرس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إخفاء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قسرا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خمسة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أيام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تعر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للضرب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والاستجواب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الأكاديمي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الجنسية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والإنجابية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للمرأة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6 </w:t>
      </w:r>
      <w:r w:rsidDel="00000000" w:rsidR="00000000" w:rsidRPr="00000000">
        <w:rPr>
          <w:sz w:val="24"/>
          <w:szCs w:val="24"/>
          <w:rtl w:val="1"/>
        </w:rPr>
        <w:t xml:space="preserve">فبراير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أمرت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نيابة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العليا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النيابة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يختص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بملاحقة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الجرائم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المتعلقة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بـ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أمن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الدولة</w:t>
      </w:r>
      <w:r w:rsidDel="00000000" w:rsidR="00000000" w:rsidRPr="00000000">
        <w:rPr>
          <w:sz w:val="24"/>
          <w:szCs w:val="24"/>
          <w:rtl w:val="1"/>
        </w:rPr>
        <w:t xml:space="preserve">"، </w:t>
      </w:r>
      <w:r w:rsidDel="00000000" w:rsidR="00000000" w:rsidRPr="00000000">
        <w:rPr>
          <w:sz w:val="24"/>
          <w:szCs w:val="24"/>
          <w:rtl w:val="1"/>
        </w:rPr>
        <w:t xml:space="preserve">باحتجاز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التحقيق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تتعلق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بالإرهاب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واستندت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تحقيقات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أجراها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الوطني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سمح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لسنطاوي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محاميه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بالاطلاع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تدشين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تطالب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بالإفراج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قامت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السلطات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بإحالته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المحاكمة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قضية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جديدة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22 </w:t>
      </w:r>
      <w:r w:rsidDel="00000000" w:rsidR="00000000" w:rsidRPr="00000000">
        <w:rPr>
          <w:sz w:val="24"/>
          <w:szCs w:val="24"/>
          <w:rtl w:val="1"/>
        </w:rPr>
        <w:t xml:space="preserve">مايو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فتحت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نيابة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تحقيق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جنائي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جديد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بسبب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منشورات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التواصل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28 </w:t>
      </w:r>
      <w:r w:rsidDel="00000000" w:rsidR="00000000" w:rsidRPr="00000000">
        <w:rPr>
          <w:sz w:val="24"/>
          <w:szCs w:val="24"/>
          <w:rtl w:val="1"/>
        </w:rPr>
        <w:t xml:space="preserve">مايو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أحالته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النيابة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المحاكمة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بتهمة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نشر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أخبار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كاذبة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تقويض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والإضرار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بمصالحها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الوطنية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ونشر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الذعر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الناس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وذلك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المادة</w:t>
      </w:r>
      <w:r w:rsidDel="00000000" w:rsidR="00000000" w:rsidRPr="00000000">
        <w:rPr>
          <w:sz w:val="24"/>
          <w:szCs w:val="24"/>
          <w:rtl w:val="1"/>
        </w:rPr>
        <w:t xml:space="preserve"> 80 (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العقوبات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شهر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كم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بالسجن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أربع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سنوات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بتهمة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كتابة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منشورات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التواصل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تنتقد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انتهاكات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السجون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وسوء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كورونا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نفاها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وخلال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جلسة</w:t>
      </w:r>
      <w:r w:rsidDel="00000000" w:rsidR="00000000" w:rsidRPr="00000000">
        <w:rPr>
          <w:sz w:val="24"/>
          <w:szCs w:val="24"/>
          <w:rtl w:val="1"/>
        </w:rPr>
        <w:t xml:space="preserve"> 22 </w:t>
      </w:r>
      <w:r w:rsidDel="00000000" w:rsidR="00000000" w:rsidRPr="00000000">
        <w:rPr>
          <w:sz w:val="24"/>
          <w:szCs w:val="24"/>
          <w:rtl w:val="1"/>
        </w:rPr>
        <w:t xml:space="preserve">مايو</w:t>
      </w:r>
      <w:r w:rsidDel="00000000" w:rsidR="00000000" w:rsidRPr="00000000">
        <w:rPr>
          <w:sz w:val="24"/>
          <w:szCs w:val="24"/>
          <w:rtl w:val="1"/>
        </w:rPr>
        <w:t xml:space="preserve">2021 </w:t>
      </w:r>
      <w:r w:rsidDel="00000000" w:rsidR="00000000" w:rsidRPr="00000000">
        <w:rPr>
          <w:sz w:val="24"/>
          <w:szCs w:val="24"/>
          <w:rtl w:val="1"/>
        </w:rPr>
        <w:t xml:space="preserve">أمام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نيابة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العليا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أبلغ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النيابة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للضرب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نائب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مأمور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سجن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ليمان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وطالب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محاموه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بنقله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مصلحة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الشرعي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للتحقيق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اعتداءات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بدنية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25 </w:t>
      </w:r>
      <w:r w:rsidDel="00000000" w:rsidR="00000000" w:rsidRPr="00000000">
        <w:rPr>
          <w:sz w:val="24"/>
          <w:szCs w:val="24"/>
          <w:rtl w:val="1"/>
        </w:rPr>
        <w:t xml:space="preserve">مايو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أنكرت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وزارة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الداخلية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الادعاءات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إجراء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تحقيقات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الادعاءات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شكاوى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السابقة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قد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مها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للنيابة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بخصوص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تعرضه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للاختفاء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القسري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والتعذيب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وغيره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أشكال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المعاملة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اعتقاله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1 </w:t>
      </w:r>
      <w:r w:rsidDel="00000000" w:rsidR="00000000" w:rsidRPr="00000000">
        <w:rPr>
          <w:sz w:val="24"/>
          <w:szCs w:val="24"/>
          <w:rtl w:val="1"/>
        </w:rPr>
        <w:t xml:space="preserve">فبراير</w:t>
      </w:r>
      <w:r w:rsidDel="00000000" w:rsidR="00000000" w:rsidRPr="00000000">
        <w:rPr>
          <w:sz w:val="24"/>
          <w:szCs w:val="24"/>
          <w:rtl w:val="1"/>
        </w:rPr>
        <w:t xml:space="preserve"> 2021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الوطني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وتطالب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الموقعة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أدناه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الرئيس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باستخدام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سلطاته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القانونية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لإلغاء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الحكم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الجائر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كما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تطالب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النائب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بإسقاط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المتعلقة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بالإرهاب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سندة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وكذلك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الإفراج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فور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شرط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كما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تدعو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السلطات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إجراء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تحقيقات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فورية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ومستقلة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ونزيهة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وفع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الة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مزاعم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التعذيب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وغيره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أشكال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المعاملة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تعر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سنطاوي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ريثما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الإفراج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وتطالب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أيضا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بالسماح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لسنطاوي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بالتواصل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أسرته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ومحاميه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وتوفير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الرعاية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الصحية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المناسبة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المناسب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الموقعة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والتعبير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العفو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التحرير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لسياسات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الأوسط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شبكة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علماء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خطر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روبرت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كينيدي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هيومن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رايتس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ووتش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مشروع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الديمقراطية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الأوسط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الخدمة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شبكة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آيفكس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للدفاع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التعبير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المبادرة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الشخصية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مركز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القاهرة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لدراسات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المفوضية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والحريات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الشبكة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العربية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جمعية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دراسات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الأوسط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الدولية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أميركا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الفيدرالية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الانسان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لمناهضة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التعذيب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مبادرة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الحرية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أكسس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ناو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سيفيكوس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الجبهة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الرابطة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التونسية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للدفاع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الاتحاد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للحريات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المدنية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الرابطة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النمساوية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العربية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والسياسية</w:t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نضال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المنبر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المركز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الإقليمي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والحريات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جمعية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تقاطع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والحريات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هيومينا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والمشاركة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المدنية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مركز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الحريات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المدنية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أوكرانيا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شبكة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المجتمع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لمراقبة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الانتخابات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ROSE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نقابة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اللجان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العمالية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CC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OO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إبسنتر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ووركس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الرقمية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epicenter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works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جمعية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يقظة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الديمقراطية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والدولة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المدنية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تونس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جمعية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قيادات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بتونس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الجمعية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التونسية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للدفاع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الحريات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الفردية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جمعية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النساء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التونسيات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التنمية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جمعية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نشاز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تونس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المنتدى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التونسي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الاقتصادية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والاجتماعية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النقابة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الوطنية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للصحفيين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التونسيين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جمعية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الراقصون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المواطنون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الجنوب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تونس</w:t>
      </w:r>
      <w:r w:rsidDel="00000000" w:rsidR="00000000" w:rsidRPr="00000000">
        <w:rPr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1"/>
        </w:rPr>
        <w:t xml:space="preserve">جمعية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مواطنون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تونسيون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ومتضامنون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الإلكترونية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مبادرة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موجودين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للمساواة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المرأة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للمرأة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مواطنة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لمساعدة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المدافعين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المؤسسة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الإعلامية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لغرب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إفريقيا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مبادرة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بتركيا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IFoX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أجندة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الإعلامية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منتدى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الحرية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نيبال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humanrights.ch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تعزيز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المجتمع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Aufstehn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at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المركز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الوطني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للتعاون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التنمية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CNCD</w:t>
      </w:r>
      <w:r w:rsidDel="00000000" w:rsidR="00000000" w:rsidRPr="00000000">
        <w:rPr>
          <w:sz w:val="24"/>
          <w:szCs w:val="24"/>
          <w:rtl w:val="1"/>
        </w:rPr>
        <w:t xml:space="preserve">-11.11.11.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مركز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القاهرة</w:t>
      </w:r>
      <w:r w:rsidDel="00000000" w:rsidR="00000000" w:rsidRPr="00000000">
        <w:rPr>
          <w:sz w:val="24"/>
          <w:szCs w:val="24"/>
          <w:rtl w:val="1"/>
        </w:rPr>
        <w:t xml:space="preserve"> 52.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 Buon Diritto Onlus.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1"/>
        </w:rPr>
        <w:t xml:space="preserve">مراسلون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بلا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حدود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-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النمسا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1"/>
        </w:rPr>
        <w:t xml:space="preserve">الأصوات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العالمية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Global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Voices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1"/>
        </w:rPr>
        <w:t xml:space="preserve">الديمقراطية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الآن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للعالم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العربي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DAWN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